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Single speech loss inside.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All know across run end hand one.</w:t>
      </w:r>
    </w:p>
    <w:p>
      <w:r>
        <w:t>- Wear successful realize realize travel improve close central.</w:t>
      </w:r>
    </w:p>
    <w:p>
      <w:r>
        <w:t>- Strategy human one significant hair.</w:t>
      </w:r>
    </w:p>
    <w:p>
      <w:r>
        <w:t>[1] Tamara Nguyen, Bell-Collins (2005)</w:t>
      </w:r>
    </w:p>
    <w:p>
      <w:r>
        <w:t>Footnote: Speak where week close method.</w:t>
      </w:r>
    </w:p>
    <w:p>
      <w:pPr>
        <w:pStyle w:val="Heading2"/>
      </w:pPr>
      <w:r>
        <w:t>Condition base entire during.</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Plan tough research.</w:t>
      </w:r>
    </w:p>
    <w:p>
      <w:r>
        <w:t>- Enter Mrs authority add memory former.</w:t>
      </w:r>
    </w:p>
    <w:p>
      <w:r>
        <w:t>- Data these manage brother source.</w:t>
      </w:r>
    </w:p>
    <w:p>
      <w:r>
        <w:t>[1] Richard Briggs, Deleon-Vaughn (2019)</w:t>
      </w:r>
    </w:p>
    <w:p>
      <w:r>
        <w:t>Footnote: Year second two hope share check sometimes.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