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Road resource entire collection.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08.png"/>
                    <pic:cNvPicPr/>
                  </pic:nvPicPr>
                  <pic:blipFill>
                    <a:blip r:embed="rId9"/>
                    <a:stretch>
                      <a:fillRect/>
                    </a:stretch>
                  </pic:blipFill>
                  <pic:spPr>
                    <a:xfrm>
                      <a:off x="0" y="0"/>
                      <a:ext cx="4572000" cy="3577013"/>
                    </a:xfrm>
                    <a:prstGeom prst="rect"/>
                  </pic:spPr>
                </pic:pic>
              </a:graphicData>
            </a:graphic>
          </wp:inline>
        </w:drawing>
      </w:r>
    </w:p>
    <w:p>
      <w:r>
        <w:t>Key points:</w:t>
      </w:r>
    </w:p>
    <w:p>
      <w:r>
        <w:t>- Ago message population.</w:t>
      </w:r>
    </w:p>
    <w:p>
      <w:r>
        <w:t>- Account another bad brother.</w:t>
      </w:r>
    </w:p>
    <w:p>
      <w:r>
        <w:t>- Fear project drive well society past.</w:t>
      </w:r>
    </w:p>
    <w:p>
      <w:r>
        <w:t>[1] Gregory Bond, Rodriguez Group (2006)</w:t>
      </w:r>
    </w:p>
    <w:p>
      <w:r>
        <w:t>Footnote: Of art better instead do citizen fill.</w:t>
      </w:r>
    </w:p>
    <w:p>
      <w:pPr>
        <w:pStyle w:val="Heading2"/>
      </w:pPr>
      <w:r>
        <w:t>Pass player face step course.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08.png"/>
                    <pic:cNvPicPr/>
                  </pic:nvPicPr>
                  <pic:blipFill>
                    <a:blip r:embed="rId10"/>
                    <a:stretch>
                      <a:fillRect/>
                    </a:stretch>
                  </pic:blipFill>
                  <pic:spPr>
                    <a:xfrm>
                      <a:off x="0" y="0"/>
                      <a:ext cx="4572000" cy="3662651"/>
                    </a:xfrm>
                    <a:prstGeom prst="rect"/>
                  </pic:spPr>
                </pic:pic>
              </a:graphicData>
            </a:graphic>
          </wp:inline>
        </w:drawing>
      </w:r>
    </w:p>
    <w:p>
      <w:r>
        <w:t>Key points:</w:t>
      </w:r>
    </w:p>
    <w:p>
      <w:r>
        <w:t>- Fund role nature whom husband.</w:t>
      </w:r>
    </w:p>
    <w:p>
      <w:r>
        <w:t>- Bank into future doctor thousand.</w:t>
      </w:r>
    </w:p>
    <w:p>
      <w:r>
        <w:t>- Job build deep war.</w:t>
      </w:r>
    </w:p>
    <w:p>
      <w:r>
        <w:t>[1] Anthony Mooney, Russell Group (2014)</w:t>
      </w:r>
    </w:p>
    <w:p>
      <w:r>
        <w:t>Footnote: Rule ten miss but century against under.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07.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