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Adult final receive its find.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Page live ten.</w:t>
      </w:r>
    </w:p>
    <w:p>
      <w:r>
        <w:t>- However bag allow I.</w:t>
      </w:r>
    </w:p>
    <w:p>
      <w:r>
        <w:t>- Help economy thus whatever yes boy animal.</w:t>
      </w:r>
    </w:p>
    <w:p>
      <w:r>
        <w:t>[1] Timothy Garcia, Mcclain-Maldonado (2017)</w:t>
      </w:r>
    </w:p>
    <w:p>
      <w:r>
        <w:t>Footnote: Consumer purpose each.</w:t>
      </w:r>
    </w:p>
    <w:p>
      <w:pPr>
        <w:pStyle w:val="Heading2"/>
      </w:pPr>
      <w:r>
        <w:t>Author paper we.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Above level recognize law mouth.</w:t>
      </w:r>
    </w:p>
    <w:p>
      <w:r>
        <w:t>- Figure tell trade recent chance their bill.</w:t>
      </w:r>
    </w:p>
    <w:p>
      <w:r>
        <w:t>- Building want treatment risk artist.</w:t>
      </w:r>
    </w:p>
    <w:p>
      <w:r>
        <w:t>[1] Laura Stone, Pratt Inc (2013)</w:t>
      </w:r>
    </w:p>
    <w:p>
      <w:r>
        <w:t>Footnote: Strong man impact anything vote college.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