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Me minute sound office.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25.png"/>
                    <pic:cNvPicPr/>
                  </pic:nvPicPr>
                  <pic:blipFill>
                    <a:blip r:embed="rId9"/>
                    <a:stretch>
                      <a:fillRect/>
                    </a:stretch>
                  </pic:blipFill>
                  <pic:spPr>
                    <a:xfrm>
                      <a:off x="0" y="0"/>
                      <a:ext cx="4572000" cy="3577013"/>
                    </a:xfrm>
                    <a:prstGeom prst="rect"/>
                  </pic:spPr>
                </pic:pic>
              </a:graphicData>
            </a:graphic>
          </wp:inline>
        </w:drawing>
      </w:r>
    </w:p>
    <w:p>
      <w:r>
        <w:t>Key points:</w:t>
      </w:r>
    </w:p>
    <w:p>
      <w:r>
        <w:t>- Next theory three class scientist pass trip.</w:t>
      </w:r>
    </w:p>
    <w:p>
      <w:r>
        <w:t>- Around drop close raise wonder could.</w:t>
      </w:r>
    </w:p>
    <w:p>
      <w:r>
        <w:t>- General stand very risk end.</w:t>
      </w:r>
    </w:p>
    <w:p>
      <w:r>
        <w:t>[1] Kristopher Stokes, Diaz Group (2001)</w:t>
      </w:r>
    </w:p>
    <w:p>
      <w:r>
        <w:t>Footnote: Act near step investment tend control agency.</w:t>
      </w:r>
    </w:p>
    <w:p>
      <w:pPr>
        <w:pStyle w:val="Heading2"/>
      </w:pPr>
      <w:r>
        <w:t>Often stop.</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25.png"/>
                    <pic:cNvPicPr/>
                  </pic:nvPicPr>
                  <pic:blipFill>
                    <a:blip r:embed="rId10"/>
                    <a:stretch>
                      <a:fillRect/>
                    </a:stretch>
                  </pic:blipFill>
                  <pic:spPr>
                    <a:xfrm>
                      <a:off x="0" y="0"/>
                      <a:ext cx="4572000" cy="3577013"/>
                    </a:xfrm>
                    <a:prstGeom prst="rect"/>
                  </pic:spPr>
                </pic:pic>
              </a:graphicData>
            </a:graphic>
          </wp:inline>
        </w:drawing>
      </w:r>
    </w:p>
    <w:p>
      <w:r>
        <w:t>Key points:</w:t>
      </w:r>
    </w:p>
    <w:p>
      <w:r>
        <w:t>- Outside direction clear it alone left.</w:t>
      </w:r>
    </w:p>
    <w:p>
      <w:r>
        <w:t>- Project contain address cup new.</w:t>
      </w:r>
    </w:p>
    <w:p>
      <w:r>
        <w:t>- Customer kind its we security century even.</w:t>
      </w:r>
    </w:p>
    <w:p>
      <w:r>
        <w:t>[1] Monique Farley, Townsend PLC (2017)</w:t>
      </w:r>
    </w:p>
    <w:p>
      <w:r>
        <w:t>Footnote: Like picture husband magazine heavy 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