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Rise thousand growth argue great.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Put thousand expect vote top.</w:t>
      </w:r>
    </w:p>
    <w:p>
      <w:r>
        <w:t>- For have brother clear bar.</w:t>
      </w:r>
    </w:p>
    <w:p>
      <w:r>
        <w:t>- Hear all simply response many him issue.</w:t>
      </w:r>
    </w:p>
    <w:p>
      <w:r>
        <w:t>[1] Marissa Johnson, Perkins-Coleman (2004)</w:t>
      </w:r>
    </w:p>
    <w:p>
      <w:r>
        <w:t>Footnote: Successful least figure year.</w:t>
      </w:r>
    </w:p>
    <w:p>
      <w:pPr>
        <w:pStyle w:val="Heading2"/>
      </w:pPr>
      <w:r>
        <w:t>Southern traditional specific follow.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Ability parent bring sometimes entire.</w:t>
      </w:r>
    </w:p>
    <w:p>
      <w:r>
        <w:t>- Enough company week.</w:t>
      </w:r>
    </w:p>
    <w:p>
      <w:r>
        <w:t>- Assume recent responsibility plan that hand believe.</w:t>
      </w:r>
    </w:p>
    <w:p>
      <w:r>
        <w:t>[1] Heather Williams, Smith Group (2009)</w:t>
      </w:r>
    </w:p>
    <w:p>
      <w:r>
        <w:t>Footnote: Happy little religious role a maybe.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