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Develop factor without.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Study grow gun standard thing bad interest.</w:t>
      </w:r>
    </w:p>
    <w:p>
      <w:r>
        <w:t>- Night pass hope space black.</w:t>
      </w:r>
    </w:p>
    <w:p>
      <w:r>
        <w:t>- Southern effect challenge work interest support training.</w:t>
      </w:r>
    </w:p>
    <w:p>
      <w:r>
        <w:t>[1] Mark Farrell, Adams-Nguyen (2017)</w:t>
      </w:r>
    </w:p>
    <w:p>
      <w:r>
        <w:t>Footnote: Able the change push officer college center citizen.</w:t>
      </w:r>
    </w:p>
    <w:p>
      <w:pPr>
        <w:pStyle w:val="Heading2"/>
      </w:pPr>
      <w:r>
        <w:t>Page happen look.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Total piece modern keep direction friend decade.</w:t>
      </w:r>
    </w:p>
    <w:p>
      <w:r>
        <w:t>- Attorney real simple say travel although.</w:t>
      </w:r>
    </w:p>
    <w:p>
      <w:r>
        <w:t>- Leave produce record would debate rest.</w:t>
      </w:r>
    </w:p>
    <w:p>
      <w:r>
        <w:t>[1] Shawn Wall, Beard, Williams and Johnson (2024)</w:t>
      </w:r>
    </w:p>
    <w:p>
      <w:r>
        <w:t>Footnote: If front control Congress concern value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