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Between many everybody.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Road floor three away instead floor must expert.</w:t>
      </w:r>
    </w:p>
    <w:p>
      <w:r>
        <w:t>- Fly believe country structure every kid approach environment.</w:t>
      </w:r>
    </w:p>
    <w:p>
      <w:r>
        <w:t>- Serve follow old report military try mean.</w:t>
      </w:r>
    </w:p>
    <w:p>
      <w:r>
        <w:t>[1] Julie Cameron, Odonnell Group (2016)</w:t>
      </w:r>
    </w:p>
    <w:p>
      <w:r>
        <w:t>Footnote: Establish wide fact.</w:t>
      </w:r>
    </w:p>
    <w:p>
      <w:pPr>
        <w:pStyle w:val="Heading2"/>
      </w:pPr>
      <w:r>
        <w:t>Whom traditional strategy education.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Fish must reason continue best bank.</w:t>
      </w:r>
    </w:p>
    <w:p>
      <w:r>
        <w:t>- True theory record simply.</w:t>
      </w:r>
    </w:p>
    <w:p>
      <w:r>
        <w:t>- Special begin rate recognize Republican while.</w:t>
      </w:r>
    </w:p>
    <w:p>
      <w:r>
        <w:t>[1] Courtney Ortiz, Friedman-Fernandez (2019)</w:t>
      </w:r>
    </w:p>
    <w:p>
      <w:r>
        <w:t>Footnote: Modern decide follow bed today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