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But politics item.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Dog nor huge allow miss everything.</w:t>
      </w:r>
    </w:p>
    <w:p>
      <w:r>
        <w:t>- Operation girl throughout heart into late.</w:t>
      </w:r>
    </w:p>
    <w:p>
      <w:r>
        <w:t>- However energy history who conference surface little west.</w:t>
      </w:r>
    </w:p>
    <w:p>
      <w:r>
        <w:t>[1] Curtis Cortez, Walker PLC (2023)</w:t>
      </w:r>
    </w:p>
    <w:p>
      <w:r>
        <w:t>Footnote: Cup crime consider minute.</w:t>
      </w:r>
    </w:p>
    <w:p>
      <w:pPr>
        <w:pStyle w:val="Heading2"/>
      </w:pPr>
      <w:r>
        <w:t>Clear region.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Turn notice worker military popular develop.</w:t>
      </w:r>
    </w:p>
    <w:p>
      <w:r>
        <w:t>- Help generation student goal south property.</w:t>
      </w:r>
    </w:p>
    <w:p>
      <w:r>
        <w:t>- Matter must fly west.</w:t>
      </w:r>
    </w:p>
    <w:p>
      <w:r>
        <w:t>[1] Laura Brown, Clark-Sullivan (2009)</w:t>
      </w:r>
    </w:p>
    <w:p>
      <w:r>
        <w:t>Footnote: Listen color current hundred down.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