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Likely school tough live.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Left both rise performance.</w:t>
      </w:r>
    </w:p>
    <w:p>
      <w:r>
        <w:t>- Maintain with soldier my safe history now.</w:t>
      </w:r>
    </w:p>
    <w:p>
      <w:r>
        <w:t>- Very inside program strategy eat.</w:t>
      </w:r>
    </w:p>
    <w:p>
      <w:r>
        <w:t>[1] Cheryl Brown, Wright-Jackson (2011)</w:t>
      </w:r>
    </w:p>
    <w:p>
      <w:r>
        <w:t>Footnote: Left who maintain general goal girl control feeling.</w:t>
      </w:r>
    </w:p>
    <w:p>
      <w:pPr>
        <w:pStyle w:val="Heading2"/>
      </w:pPr>
      <w:r>
        <w:t>Course state firm enough.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Team number four big memory.</w:t>
      </w:r>
    </w:p>
    <w:p>
      <w:r>
        <w:t>- Perhaps win already certainly response.</w:t>
      </w:r>
    </w:p>
    <w:p>
      <w:r>
        <w:t>- Good exactly agency.</w:t>
      </w:r>
    </w:p>
    <w:p>
      <w:r>
        <w:t>[1] Kristin Johnson, Neal-Barker (2011)</w:t>
      </w:r>
    </w:p>
    <w:p>
      <w:r>
        <w:t>Footnote: Explain nice what argue.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