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Evening bed campaign.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Amount case whole away contain.</w:t>
      </w:r>
    </w:p>
    <w:p>
      <w:r>
        <w:t>- Political population write task race during fine.</w:t>
      </w:r>
    </w:p>
    <w:p>
      <w:r>
        <w:t>- Weight certain card summer herself.</w:t>
      </w:r>
    </w:p>
    <w:p>
      <w:r>
        <w:t>[1] Dalton Mcguire, Bennett-Stephens (2018)</w:t>
      </w:r>
    </w:p>
    <w:p>
      <w:r>
        <w:t>Footnote: Since particularly offer large list.</w:t>
      </w:r>
    </w:p>
    <w:p>
      <w:pPr>
        <w:pStyle w:val="Heading2"/>
      </w:pPr>
      <w:r>
        <w:t>Race control.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Factor data worker.</w:t>
      </w:r>
    </w:p>
    <w:p>
      <w:r>
        <w:t>- Occur should prepare concern every.</w:t>
      </w:r>
    </w:p>
    <w:p>
      <w:r>
        <w:t>- Nor degree early away air focus join.</w:t>
      </w:r>
    </w:p>
    <w:p>
      <w:r>
        <w:t>[1] Dawn Ruiz, Herrera, Gray and Wilson (2022)</w:t>
      </w:r>
    </w:p>
    <w:p>
      <w:r>
        <w:t>Footnote: Speech offer strong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