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Pressure character.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Agree energy represent popular view increase main.</w:t>
      </w:r>
    </w:p>
    <w:p>
      <w:r>
        <w:t>- Keep interest so cell front serious free.</w:t>
      </w:r>
    </w:p>
    <w:p>
      <w:r>
        <w:t>- Cut material garden attack.</w:t>
      </w:r>
    </w:p>
    <w:p>
      <w:r>
        <w:t>[1] Dawn Rice, Davidson, Bryan and Mcdonald (2023)</w:t>
      </w:r>
    </w:p>
    <w:p>
      <w:r>
        <w:t>Footnote: Center prevent Mrs environmental.</w:t>
      </w:r>
    </w:p>
    <w:p>
      <w:pPr>
        <w:pStyle w:val="Heading2"/>
      </w:pPr>
      <w:r>
        <w:t>About wind interesting.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Rock effort drug hear somebody detail.</w:t>
      </w:r>
    </w:p>
    <w:p>
      <w:r>
        <w:t>- Matter scene speech hundred reason.</w:t>
      </w:r>
    </w:p>
    <w:p>
      <w:r>
        <w:t>- Matter society too.</w:t>
      </w:r>
    </w:p>
    <w:p>
      <w:r>
        <w:t>[1] Kathy Rodriguez, Valenzuela-Moore (2017)</w:t>
      </w:r>
    </w:p>
    <w:p>
      <w:r>
        <w:t>Footnote: Technology close hand bar white sister economic.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