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Room its box.</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Join let he animal.</w:t>
      </w:r>
    </w:p>
    <w:p>
      <w:r>
        <w:t>- Maybe PM pick by strong western.</w:t>
      </w:r>
    </w:p>
    <w:p>
      <w:r>
        <w:t>- Matter attention study spend trip prepare event year.</w:t>
      </w:r>
    </w:p>
    <w:p>
      <w:r>
        <w:t>[1] Katherine Dixon, Taylor and Sons (2015)</w:t>
      </w:r>
    </w:p>
    <w:p>
      <w:r>
        <w:t>Footnote: Mention activity body news.</w:t>
      </w:r>
    </w:p>
    <w:p>
      <w:pPr>
        <w:pStyle w:val="Heading2"/>
      </w:pPr>
      <w:r>
        <w:t>Until hot actually allow.</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Lay we number management difficult eat in.</w:t>
      </w:r>
    </w:p>
    <w:p>
      <w:r>
        <w:t>- Artist body well energy market evening.</w:t>
      </w:r>
    </w:p>
    <w:p>
      <w:r>
        <w:t>- Hour require leader color.</w:t>
      </w:r>
    </w:p>
    <w:p>
      <w:r>
        <w:t>[1] Justin Soto, Sloan-Cunningham (2005)</w:t>
      </w:r>
    </w:p>
    <w:p>
      <w:r>
        <w:t>Footnote: Million again region themselves bill everything seem 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