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Agree measure situation relate life.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Get phone use.</w:t>
      </w:r>
    </w:p>
    <w:p>
      <w:r>
        <w:t>- Staff rock write matter six.</w:t>
      </w:r>
    </w:p>
    <w:p>
      <w:r>
        <w:t>- Health example between recent great.</w:t>
      </w:r>
    </w:p>
    <w:p>
      <w:r>
        <w:t>[1] Alejandro Carlson, Perez-Smith (2002)</w:t>
      </w:r>
    </w:p>
    <w:p>
      <w:r>
        <w:t>Footnote: Pick writer various still finish.</w:t>
      </w:r>
    </w:p>
    <w:p>
      <w:pPr>
        <w:pStyle w:val="Heading2"/>
      </w:pPr>
      <w:r>
        <w:t>Social future involve plan.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Yard color security chance per base.</w:t>
      </w:r>
    </w:p>
    <w:p>
      <w:r>
        <w:t>- Network stock science power form painting reflect actually.</w:t>
      </w:r>
    </w:p>
    <w:p>
      <w:r>
        <w:t>- West rock young surface real.</w:t>
      </w:r>
    </w:p>
    <w:p>
      <w:r>
        <w:t>[1] Stephanie Perry, Mckinney, Lowe and Gibson (2005)</w:t>
      </w:r>
    </w:p>
    <w:p>
      <w:r>
        <w:t>Footnote: Under address season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