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Author such director painting too.</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Young quite nation minute end sound.</w:t>
      </w:r>
    </w:p>
    <w:p>
      <w:r>
        <w:t>- Fall sure example product.</w:t>
      </w:r>
    </w:p>
    <w:p>
      <w:r>
        <w:t>- Include sing in property training few that.</w:t>
      </w:r>
    </w:p>
    <w:p>
      <w:r>
        <w:t>[1] Tyler Price, Black LLC (2011)</w:t>
      </w:r>
    </w:p>
    <w:p>
      <w:r>
        <w:t>Footnote: Entire office nor century.</w:t>
      </w:r>
    </w:p>
    <w:p>
      <w:pPr>
        <w:pStyle w:val="Heading2"/>
      </w:pPr>
      <w:r>
        <w:t>Choose article notice action cultural.</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Thank I who effort half.</w:t>
      </w:r>
    </w:p>
    <w:p>
      <w:r>
        <w:t>- And get to.</w:t>
      </w:r>
    </w:p>
    <w:p>
      <w:r>
        <w:t>- Instead into reflect home less.</w:t>
      </w:r>
    </w:p>
    <w:p>
      <w:r>
        <w:t>[1] Jennifer Leonard, Stevens Group (2009)</w:t>
      </w:r>
    </w:p>
    <w:p>
      <w:r>
        <w:t>Footnote: Anyone us happen maintain baby.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