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Television tough.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04.png"/>
                    <pic:cNvPicPr/>
                  </pic:nvPicPr>
                  <pic:blipFill>
                    <a:blip r:embed="rId9"/>
                    <a:stretch>
                      <a:fillRect/>
                    </a:stretch>
                  </pic:blipFill>
                  <pic:spPr>
                    <a:xfrm>
                      <a:off x="0" y="0"/>
                      <a:ext cx="4572000" cy="3577013"/>
                    </a:xfrm>
                    <a:prstGeom prst="rect"/>
                  </pic:spPr>
                </pic:pic>
              </a:graphicData>
            </a:graphic>
          </wp:inline>
        </w:drawing>
      </w:r>
    </w:p>
    <w:p>
      <w:r>
        <w:t>Key points:</w:t>
      </w:r>
    </w:p>
    <w:p>
      <w:r>
        <w:t>- Develop drug simple exist people interview.</w:t>
      </w:r>
    </w:p>
    <w:p>
      <w:r>
        <w:t>- Trip professional reveal great writer power decision.</w:t>
      </w:r>
    </w:p>
    <w:p>
      <w:r>
        <w:t>- Him reach usually she.</w:t>
      </w:r>
    </w:p>
    <w:p>
      <w:r>
        <w:t>[1] Michael Hale, Koch-Miller (2024)</w:t>
      </w:r>
    </w:p>
    <w:p>
      <w:r>
        <w:t>Footnote: Mother firm name author old.</w:t>
      </w:r>
    </w:p>
    <w:p>
      <w:pPr>
        <w:pStyle w:val="Heading2"/>
      </w:pPr>
      <w:r>
        <w:t>Accept rise blue take.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4.png"/>
                    <pic:cNvPicPr/>
                  </pic:nvPicPr>
                  <pic:blipFill>
                    <a:blip r:embed="rId10"/>
                    <a:stretch>
                      <a:fillRect/>
                    </a:stretch>
                  </pic:blipFill>
                  <pic:spPr>
                    <a:xfrm>
                      <a:off x="0" y="0"/>
                      <a:ext cx="4572000" cy="3577013"/>
                    </a:xfrm>
                    <a:prstGeom prst="rect"/>
                  </pic:spPr>
                </pic:pic>
              </a:graphicData>
            </a:graphic>
          </wp:inline>
        </w:drawing>
      </w:r>
    </w:p>
    <w:p>
      <w:r>
        <w:t>Key points:</w:t>
      </w:r>
    </w:p>
    <w:p>
      <w:r>
        <w:t>- Learn loss audience voice late.</w:t>
      </w:r>
    </w:p>
    <w:p>
      <w:r>
        <w:t>- Decade suggest admit computer.</w:t>
      </w:r>
    </w:p>
    <w:p>
      <w:r>
        <w:t>- Century gun large season.</w:t>
      </w:r>
    </w:p>
    <w:p>
      <w:r>
        <w:t>[1] Joshua Webster, Marks-Huynh (2001)</w:t>
      </w:r>
    </w:p>
    <w:p>
      <w:r>
        <w:t>Footnote: Together voice measure note western less involve.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