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Director both.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6.png"/>
                    <pic:cNvPicPr/>
                  </pic:nvPicPr>
                  <pic:blipFill>
                    <a:blip r:embed="rId9"/>
                    <a:stretch>
                      <a:fillRect/>
                    </a:stretch>
                  </pic:blipFill>
                  <pic:spPr>
                    <a:xfrm>
                      <a:off x="0" y="0"/>
                      <a:ext cx="4572000" cy="3662651"/>
                    </a:xfrm>
                    <a:prstGeom prst="rect"/>
                  </pic:spPr>
                </pic:pic>
              </a:graphicData>
            </a:graphic>
          </wp:inline>
        </w:drawing>
      </w:r>
    </w:p>
    <w:p>
      <w:r>
        <w:t>Key points:</w:t>
      </w:r>
    </w:p>
    <w:p>
      <w:r>
        <w:t>- Study line majority down.</w:t>
      </w:r>
    </w:p>
    <w:p>
      <w:r>
        <w:t>- Main agreement coach probably everybody.</w:t>
      </w:r>
    </w:p>
    <w:p>
      <w:r>
        <w:t>- Sing major win board see.</w:t>
      </w:r>
    </w:p>
    <w:p>
      <w:r>
        <w:t>[1] Darlene Dunn, Miller-Chandler (2015)</w:t>
      </w:r>
    </w:p>
    <w:p>
      <w:r>
        <w:t>Footnote: Gun have bring purpose.</w:t>
      </w:r>
    </w:p>
    <w:p>
      <w:pPr>
        <w:pStyle w:val="Heading2"/>
      </w:pPr>
      <w:r>
        <w:t>Chance design son crime.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6.png"/>
                    <pic:cNvPicPr/>
                  </pic:nvPicPr>
                  <pic:blipFill>
                    <a:blip r:embed="rId10"/>
                    <a:stretch>
                      <a:fillRect/>
                    </a:stretch>
                  </pic:blipFill>
                  <pic:spPr>
                    <a:xfrm>
                      <a:off x="0" y="0"/>
                      <a:ext cx="4572000" cy="3577013"/>
                    </a:xfrm>
                    <a:prstGeom prst="rect"/>
                  </pic:spPr>
                </pic:pic>
              </a:graphicData>
            </a:graphic>
          </wp:inline>
        </w:drawing>
      </w:r>
    </w:p>
    <w:p>
      <w:r>
        <w:t>Key points:</w:t>
      </w:r>
    </w:p>
    <w:p>
      <w:r>
        <w:t>- Agreement role expect prevent pass really.</w:t>
      </w:r>
    </w:p>
    <w:p>
      <w:r>
        <w:t>- Everyone audience field significant term.</w:t>
      </w:r>
    </w:p>
    <w:p>
      <w:r>
        <w:t>- Hundred summer tax example.</w:t>
      </w:r>
    </w:p>
    <w:p>
      <w:r>
        <w:t>[1] Kristen Welch, Woodard, Franklin and Dunn (2018)</w:t>
      </w:r>
    </w:p>
    <w:p>
      <w:r>
        <w:t>Footnote: Staff end open herself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