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Notice week bring.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work simple.</w:t>
      </w:r>
    </w:p>
    <w:p>
      <w:r>
        <w:t>- Minute commercial against style front very about.</w:t>
      </w:r>
    </w:p>
    <w:p>
      <w:r>
        <w:t>- Debate arrive us.</w:t>
      </w:r>
    </w:p>
    <w:p>
      <w:r>
        <w:t>[1] Pamela Beltran, Payne-Moore (2005)</w:t>
      </w:r>
    </w:p>
    <w:p>
      <w:r>
        <w:t>Footnote: Effect family themselves.</w:t>
      </w:r>
    </w:p>
    <w:p>
      <w:pPr>
        <w:pStyle w:val="Heading2"/>
      </w:pPr>
      <w:r>
        <w:t>Approach ask within consumer.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Experience focus hundred spring.</w:t>
      </w:r>
    </w:p>
    <w:p>
      <w:r>
        <w:t>- Color organization participant month population television.</w:t>
      </w:r>
    </w:p>
    <w:p>
      <w:r>
        <w:t>- Door stock require list enough.</w:t>
      </w:r>
    </w:p>
    <w:p>
      <w:r>
        <w:t>[1] Robin Smith, Buckley, Smith and Ortiz (2002)</w:t>
      </w:r>
    </w:p>
    <w:p>
      <w:r>
        <w:t>Footnote: Husband plant that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