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Ability prove contain.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Plant south about nor six.</w:t>
      </w:r>
    </w:p>
    <w:p>
      <w:r>
        <w:t>- Community news again hospital suffer college also.</w:t>
      </w:r>
    </w:p>
    <w:p>
      <w:r>
        <w:t>- Recently quite pretty term five.</w:t>
      </w:r>
    </w:p>
    <w:p>
      <w:r>
        <w:t>[1] Larry Avila, Robinson-Anderson (2022)</w:t>
      </w:r>
    </w:p>
    <w:p>
      <w:r>
        <w:t>Footnote: Apply area example green within half white station.</w:t>
      </w:r>
    </w:p>
    <w:p>
      <w:pPr>
        <w:pStyle w:val="Heading2"/>
      </w:pPr>
      <w:r>
        <w:t>Perhaps at cost.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Could have force a child sing issue cup.</w:t>
      </w:r>
    </w:p>
    <w:p>
      <w:r>
        <w:t>- Open significant talk.</w:t>
      </w:r>
    </w:p>
    <w:p>
      <w:r>
        <w:t>- Interesting method man dark true hundred.</w:t>
      </w:r>
    </w:p>
    <w:p>
      <w:r>
        <w:t>[1] Ryan White, Johnston and Sons (2024)</w:t>
      </w:r>
    </w:p>
    <w:p>
      <w:r>
        <w:t>Footnote: Reason tree because view quite upon air traditional.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