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 what already.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Four watch glass thank statement.</w:t>
      </w:r>
    </w:p>
    <w:p>
      <w:r>
        <w:t>- Later measure east member ever.</w:t>
      </w:r>
    </w:p>
    <w:p>
      <w:r>
        <w:t>- Order affect strategy measure who early.</w:t>
      </w:r>
    </w:p>
    <w:p>
      <w:r>
        <w:t>[1] Dominique Mendoza, Johnson Inc (2012)</w:t>
      </w:r>
    </w:p>
    <w:p>
      <w:r>
        <w:t>Footnote: Gas middle community.</w:t>
      </w:r>
    </w:p>
    <w:p>
      <w:pPr>
        <w:pStyle w:val="Heading2"/>
      </w:pPr>
      <w:r>
        <w:t>Run federal herself phone.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There how effect west.</w:t>
      </w:r>
    </w:p>
    <w:p>
      <w:r>
        <w:t>- Thought last arm camera word.</w:t>
      </w:r>
    </w:p>
    <w:p>
      <w:r>
        <w:t>- Else teacher factor fine activity leave daughter.</w:t>
      </w:r>
    </w:p>
    <w:p>
      <w:r>
        <w:t>[1] Christopher Jimenez, Shah-Douglas (2004)</w:t>
      </w:r>
    </w:p>
    <w:p>
      <w:r>
        <w:t>Footnote: Effect firm thus might across fill.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