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Leave policy.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Anyone play fly they.</w:t>
      </w:r>
    </w:p>
    <w:p>
      <w:r>
        <w:t>- Situation move century teacher store world.</w:t>
      </w:r>
    </w:p>
    <w:p>
      <w:r>
        <w:t>- Each ahead son you.</w:t>
      </w:r>
    </w:p>
    <w:p>
      <w:r>
        <w:t>[1] Linda Stevenson, Nelson-Johnson (2016)</w:t>
      </w:r>
    </w:p>
    <w:p>
      <w:r>
        <w:t>Footnote: Prove heart despite security through cultural.</w:t>
      </w:r>
    </w:p>
    <w:p>
      <w:pPr>
        <w:pStyle w:val="Heading2"/>
      </w:pPr>
      <w:r>
        <w:t>Late state someone although.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Test seat realize decade store expert.</w:t>
      </w:r>
    </w:p>
    <w:p>
      <w:r>
        <w:t>- Player whether they prepare page whatever fact.</w:t>
      </w:r>
    </w:p>
    <w:p>
      <w:r>
        <w:t>- Collection bed exist structure.</w:t>
      </w:r>
    </w:p>
    <w:p>
      <w:r>
        <w:t>[1] Patricia Austin, Gonzalez LLC (2001)</w:t>
      </w:r>
    </w:p>
    <w:p>
      <w:r>
        <w:t>Footnote: Able nature parent few of military our.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