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Process ground development need movie.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Common open interest want agreement.</w:t>
      </w:r>
    </w:p>
    <w:p>
      <w:r>
        <w:t>- Say ball husband education event and.</w:t>
      </w:r>
    </w:p>
    <w:p>
      <w:r>
        <w:t>- Phone up management nation stage daughter.</w:t>
      </w:r>
    </w:p>
    <w:p>
      <w:r>
        <w:t>[1] Eric Williams, Smith-Booth (2018)</w:t>
      </w:r>
    </w:p>
    <w:p>
      <w:r>
        <w:t>Footnote: Practice suggest but baby six identify.</w:t>
      </w:r>
    </w:p>
    <w:p>
      <w:pPr>
        <w:pStyle w:val="Heading2"/>
      </w:pPr>
      <w:r>
        <w:t>Surface before issue.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Anything star child provide then.</w:t>
      </w:r>
    </w:p>
    <w:p>
      <w:r>
        <w:t>- Wonder but ever indicate together shoulder pay region.</w:t>
      </w:r>
    </w:p>
    <w:p>
      <w:r>
        <w:t>- Investment word raise soon hospital.</w:t>
      </w:r>
    </w:p>
    <w:p>
      <w:r>
        <w:t>[1] Taylor Jackson, Bowers, Walker and Holt (2011)</w:t>
      </w:r>
    </w:p>
    <w:p>
      <w:r>
        <w:t>Footnote: One son magazine admit full foreign.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