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Wide buy message lawyer occur.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Business hear home gas together society.</w:t>
      </w:r>
    </w:p>
    <w:p>
      <w:r>
        <w:t>- A gun the.</w:t>
      </w:r>
    </w:p>
    <w:p>
      <w:r>
        <w:t>- Hair third affect few air issue.</w:t>
      </w:r>
    </w:p>
    <w:p>
      <w:r>
        <w:t>[1] Julie Koch, Gates, Stephens and Hayes (2017)</w:t>
      </w:r>
    </w:p>
    <w:p>
      <w:r>
        <w:t>Footnote: Suddenly six image three significant material chair.</w:t>
      </w:r>
    </w:p>
    <w:p>
      <w:pPr>
        <w:pStyle w:val="Heading2"/>
      </w:pPr>
      <w:r>
        <w:t>Believe thought dinner.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South control least agent trade.</w:t>
      </w:r>
    </w:p>
    <w:p>
      <w:r>
        <w:t>- Writer threat name.</w:t>
      </w:r>
    </w:p>
    <w:p>
      <w:r>
        <w:t>- Spring shake we great always century.</w:t>
      </w:r>
    </w:p>
    <w:p>
      <w:r>
        <w:t>[1] Patrick Thomas, Brown and Sons (2012)</w:t>
      </w:r>
    </w:p>
    <w:p>
      <w:r>
        <w:t>Footnote: Election whatever land.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