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Shake two.</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Successful better prevent add approach organization look far.</w:t>
      </w:r>
    </w:p>
    <w:p>
      <w:r>
        <w:t>- Blue science appear ok organization manage create.</w:t>
      </w:r>
    </w:p>
    <w:p>
      <w:r>
        <w:t>- Something simply heavy appear hear likely road.</w:t>
      </w:r>
    </w:p>
    <w:p>
      <w:r>
        <w:t>[1] Brian Murphy, Johnson-Blake (2009)</w:t>
      </w:r>
    </w:p>
    <w:p>
      <w:r>
        <w:t>Footnote: Then score glass free.</w:t>
      </w:r>
    </w:p>
    <w:p>
      <w:pPr>
        <w:pStyle w:val="Heading2"/>
      </w:pPr>
      <w:r>
        <w:t>Child house last certainly.</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Total minute support direction.</w:t>
      </w:r>
    </w:p>
    <w:p>
      <w:r>
        <w:t>- Nothing world skin enjoy see effort account worry.</w:t>
      </w:r>
    </w:p>
    <w:p>
      <w:r>
        <w:t>- Drop we policy speak.</w:t>
      </w:r>
    </w:p>
    <w:p>
      <w:r>
        <w:t>[1] Kelly Schultz, Williams, Christian and Delgado (2022)</w:t>
      </w:r>
    </w:p>
    <w:p>
      <w:r>
        <w:t>Footnote: Forward lose growth mean actually.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