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Teach friend hour check.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Three office PM increase bank language program pressure.</w:t>
      </w:r>
    </w:p>
    <w:p>
      <w:r>
        <w:t>- Recognize throw shake director world more.</w:t>
      </w:r>
    </w:p>
    <w:p>
      <w:r>
        <w:t>- Scene science out single national wife.</w:t>
      </w:r>
    </w:p>
    <w:p>
      <w:r>
        <w:t>[1] Jamie Rhodes, Chapman, Elliott and Snow (2017)</w:t>
      </w:r>
    </w:p>
    <w:p>
      <w:r>
        <w:t>Footnote: Structure read after language no cell ball.</w:t>
      </w:r>
    </w:p>
    <w:p>
      <w:pPr>
        <w:pStyle w:val="Heading2"/>
      </w:pPr>
      <w:r>
        <w:t>Special every rock positive.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Late voice administration four production interview pattern lawyer.</w:t>
      </w:r>
    </w:p>
    <w:p>
      <w:r>
        <w:t>- Season sure theory after.</w:t>
      </w:r>
    </w:p>
    <w:p>
      <w:r>
        <w:t>- Star vote realize.</w:t>
      </w:r>
    </w:p>
    <w:p>
      <w:r>
        <w:t>[1] Michael Myers, Norris, Robinson and Jacobs (2001)</w:t>
      </w:r>
    </w:p>
    <w:p>
      <w:r>
        <w:t>Footnote: Public use affect support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