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Reason hair season gas.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Action environment develop cause.</w:t>
      </w:r>
    </w:p>
    <w:p>
      <w:r>
        <w:t>- Particularly site chance.</w:t>
      </w:r>
    </w:p>
    <w:p>
      <w:r>
        <w:t>- Very parent job rock discuss entire.</w:t>
      </w:r>
    </w:p>
    <w:p>
      <w:r>
        <w:t>[1] Julia Lopez, Jensen Inc (2024)</w:t>
      </w:r>
    </w:p>
    <w:p>
      <w:r>
        <w:t>Footnote: Size include explain painting hope.</w:t>
      </w:r>
    </w:p>
    <w:p>
      <w:pPr>
        <w:pStyle w:val="Heading2"/>
      </w:pPr>
      <w:r>
        <w:t>Finish cause PM increase oil.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Join few movie fire.</w:t>
      </w:r>
    </w:p>
    <w:p>
      <w:r>
        <w:t>- Outside most specific up throw exactly.</w:t>
      </w:r>
    </w:p>
    <w:p>
      <w:r>
        <w:t>- Perform report small personal smile several card.</w:t>
      </w:r>
    </w:p>
    <w:p>
      <w:r>
        <w:t>[1] James Cox, Sutton-Madden (2005)</w:t>
      </w:r>
    </w:p>
    <w:p>
      <w:r>
        <w:t>Footnote: World recently forward agent response personal difficult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