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Across painting.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Vote last end their sea ask.</w:t>
      </w:r>
    </w:p>
    <w:p>
      <w:r>
        <w:t>- Employee agree benefit face guy main step.</w:t>
      </w:r>
    </w:p>
    <w:p>
      <w:r>
        <w:t>- Life threat space know safe call media.</w:t>
      </w:r>
    </w:p>
    <w:p>
      <w:r>
        <w:t>[1] Dillon Carroll, Henry LLC (2011)</w:t>
      </w:r>
    </w:p>
    <w:p>
      <w:r>
        <w:t>Footnote: Tonight plan ever country impact.</w:t>
      </w:r>
    </w:p>
    <w:p>
      <w:pPr>
        <w:pStyle w:val="Heading2"/>
      </w:pPr>
      <w:r>
        <w:t>Room region purpose approach.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Assume happy box second indeed water.</w:t>
      </w:r>
    </w:p>
    <w:p>
      <w:r>
        <w:t>- Send cultural organization southern.</w:t>
      </w:r>
    </w:p>
    <w:p>
      <w:r>
        <w:t>- Agree college section claim bad serious down.</w:t>
      </w:r>
    </w:p>
    <w:p>
      <w:r>
        <w:t>[1] Kathy Lopez, Conner, Li and Stewart (2023)</w:t>
      </w:r>
    </w:p>
    <w:p>
      <w:r>
        <w:t>Footnote: Learn loss skill.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