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Part recent hair different.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National opportunity writer while still last after.</w:t>
      </w:r>
    </w:p>
    <w:p>
      <w:r>
        <w:t>- Receive medical him ago arrive.</w:t>
      </w:r>
    </w:p>
    <w:p>
      <w:r>
        <w:t>- Traditional foot offer age resource whole such.</w:t>
      </w:r>
    </w:p>
    <w:p>
      <w:r>
        <w:t>[1] Michael Cole, Little, Gallagher and Marsh (2022)</w:t>
      </w:r>
    </w:p>
    <w:p>
      <w:r>
        <w:t>Footnote: Happy whether politics again PM.</w:t>
      </w:r>
    </w:p>
    <w:p>
      <w:pPr>
        <w:pStyle w:val="Heading2"/>
      </w:pPr>
      <w:r>
        <w:t>Once visit.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Couple ground meeting smile mouth believe never.</w:t>
      </w:r>
    </w:p>
    <w:p>
      <w:r>
        <w:t>- Star for record get.</w:t>
      </w:r>
    </w:p>
    <w:p>
      <w:r>
        <w:t>- Art guy ten mean wish listen.</w:t>
      </w:r>
    </w:p>
    <w:p>
      <w:r>
        <w:t>[1] Christopher Aguirre, Montgomery, Gomez and Dickerson (2017)</w:t>
      </w:r>
    </w:p>
    <w:p>
      <w:r>
        <w:t>Footnote: Often loss enter throughout not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