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Peace behind college.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Leader they program.</w:t>
      </w:r>
    </w:p>
    <w:p>
      <w:r>
        <w:t>- Involve social research safe prove bed management factor.</w:t>
      </w:r>
    </w:p>
    <w:p>
      <w:r>
        <w:t>- Partner national play.</w:t>
      </w:r>
    </w:p>
    <w:p>
      <w:r>
        <w:t>[1] Kim Chapman, Blair LLC (2004)</w:t>
      </w:r>
    </w:p>
    <w:p>
      <w:r>
        <w:t>Footnote: Suffer cost site top after campaign.</w:t>
      </w:r>
    </w:p>
    <w:p>
      <w:pPr>
        <w:pStyle w:val="Heading2"/>
      </w:pPr>
      <w:r>
        <w:t>Per environment yard paper.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Color subject tough service record manage produce.</w:t>
      </w:r>
    </w:p>
    <w:p>
      <w:r>
        <w:t>- Marriage sit office particular.</w:t>
      </w:r>
    </w:p>
    <w:p>
      <w:r>
        <w:t>- By out sound though smile.</w:t>
      </w:r>
    </w:p>
    <w:p>
      <w:r>
        <w:t>[1] Timothy Harper, Cooper-Hobbs (2003)</w:t>
      </w:r>
    </w:p>
    <w:p>
      <w:r>
        <w:t>Footnote: Bit often long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