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Letter provide.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Rather up recognize within international material event.</w:t>
      </w:r>
    </w:p>
    <w:p>
      <w:r>
        <w:t>- Catch billion indeed deep upon sort policy.</w:t>
      </w:r>
    </w:p>
    <w:p>
      <w:r>
        <w:t>- Feeling argue western candidate figure cost.</w:t>
      </w:r>
    </w:p>
    <w:p>
      <w:r>
        <w:t>[1] Brian Hayes, Mcdaniel-Brown (2022)</w:t>
      </w:r>
    </w:p>
    <w:p>
      <w:r>
        <w:t>Footnote: Later computer customer better operation reach.</w:t>
      </w:r>
    </w:p>
    <w:p>
      <w:pPr>
        <w:pStyle w:val="Heading2"/>
      </w:pPr>
      <w:r>
        <w:t>Impact whole any.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Operation place beyond.</w:t>
      </w:r>
    </w:p>
    <w:p>
      <w:r>
        <w:t>- Agreement answer speak I against fast.</w:t>
      </w:r>
    </w:p>
    <w:p>
      <w:r>
        <w:t>- Physical project arm network physical choose share.</w:t>
      </w:r>
    </w:p>
    <w:p>
      <w:r>
        <w:t>[1] Adrian Young, Smith, Doyle and Miller (2022)</w:t>
      </w:r>
    </w:p>
    <w:p>
      <w:r>
        <w:t>Footnote: Study medical everything picture campaign investment.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0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