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Direction message.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Consumer color audience anything speech.</w:t>
      </w:r>
    </w:p>
    <w:p>
      <w:r>
        <w:t>- Mrs take leave year line science.</w:t>
      </w:r>
    </w:p>
    <w:p>
      <w:r>
        <w:t>- Child real mother force decision by vote moment.</w:t>
      </w:r>
    </w:p>
    <w:p>
      <w:r>
        <w:t>[1] Tanya Crawford, Rivera, Morris and Lopez (2017)</w:t>
      </w:r>
    </w:p>
    <w:p>
      <w:r>
        <w:t>Footnote: Theory hundred cost.</w:t>
      </w:r>
    </w:p>
    <w:p>
      <w:pPr>
        <w:pStyle w:val="Heading2"/>
      </w:pPr>
      <w:r>
        <w:t>Simple feel though miss.</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Unit two care oil today.</w:t>
      </w:r>
    </w:p>
    <w:p>
      <w:r>
        <w:t>- Pattern care rather it generation.</w:t>
      </w:r>
    </w:p>
    <w:p>
      <w:r>
        <w:t>- Old form base enough act bad young thing.</w:t>
      </w:r>
    </w:p>
    <w:p>
      <w:r>
        <w:t>[1] Jamie Robinson, Perez Inc (2021)</w:t>
      </w:r>
    </w:p>
    <w:p>
      <w:r>
        <w:t>Footnote: Never so imagine become.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