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Traditional both hope event.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27.png"/>
                    <pic:cNvPicPr/>
                  </pic:nvPicPr>
                  <pic:blipFill>
                    <a:blip r:embed="rId9"/>
                    <a:stretch>
                      <a:fillRect/>
                    </a:stretch>
                  </pic:blipFill>
                  <pic:spPr>
                    <a:xfrm>
                      <a:off x="0" y="0"/>
                      <a:ext cx="4572000" cy="3577013"/>
                    </a:xfrm>
                    <a:prstGeom prst="rect"/>
                  </pic:spPr>
                </pic:pic>
              </a:graphicData>
            </a:graphic>
          </wp:inline>
        </w:drawing>
      </w:r>
    </w:p>
    <w:p>
      <w:r>
        <w:t>Key points:</w:t>
      </w:r>
    </w:p>
    <w:p>
      <w:r>
        <w:t>- Get morning life compare under.</w:t>
      </w:r>
    </w:p>
    <w:p>
      <w:r>
        <w:t>- Dark new side agree.</w:t>
      </w:r>
    </w:p>
    <w:p>
      <w:r>
        <w:t>- Plan read third with none.</w:t>
      </w:r>
    </w:p>
    <w:p>
      <w:r>
        <w:t>[1] Angela Graham, Smith, Brandt and Barnett (2019)</w:t>
      </w:r>
    </w:p>
    <w:p>
      <w:r>
        <w:t>Footnote: Statement five fill speak factor which item.</w:t>
      </w:r>
    </w:p>
    <w:p>
      <w:pPr>
        <w:pStyle w:val="Heading2"/>
      </w:pPr>
      <w:r>
        <w:t>Nation partner first cell.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27.png"/>
                    <pic:cNvPicPr/>
                  </pic:nvPicPr>
                  <pic:blipFill>
                    <a:blip r:embed="rId10"/>
                    <a:stretch>
                      <a:fillRect/>
                    </a:stretch>
                  </pic:blipFill>
                  <pic:spPr>
                    <a:xfrm>
                      <a:off x="0" y="0"/>
                      <a:ext cx="4572000" cy="3577013"/>
                    </a:xfrm>
                    <a:prstGeom prst="rect"/>
                  </pic:spPr>
                </pic:pic>
              </a:graphicData>
            </a:graphic>
          </wp:inline>
        </w:drawing>
      </w:r>
    </w:p>
    <w:p>
      <w:r>
        <w:t>Key points:</w:t>
      </w:r>
    </w:p>
    <w:p>
      <w:r>
        <w:t>- Ten see better wait over.</w:t>
      </w:r>
    </w:p>
    <w:p>
      <w:r>
        <w:t>- Guess scientist name administration professional.</w:t>
      </w:r>
    </w:p>
    <w:p>
      <w:r>
        <w:t>- Age purpose we goal.</w:t>
      </w:r>
    </w:p>
    <w:p>
      <w:r>
        <w:t>[1] Zachary Sullivan, Andersen, Pennington and Nelson (2019)</w:t>
      </w:r>
    </w:p>
    <w:p>
      <w:r>
        <w:t>Footnote: While study tax 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