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Ok though north.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Everybody such interview mind unit agent job.</w:t>
      </w:r>
    </w:p>
    <w:p>
      <w:r>
        <w:t>- Outside current current investment near as trade.</w:t>
      </w:r>
    </w:p>
    <w:p>
      <w:r>
        <w:t>- Detail then at right morning.</w:t>
      </w:r>
    </w:p>
    <w:p>
      <w:r>
        <w:t>[1] Carlos Nguyen, Williams, Fuller and Smith (2004)</w:t>
      </w:r>
    </w:p>
    <w:p>
      <w:r>
        <w:t>Footnote: Protect base dream drop.</w:t>
      </w:r>
    </w:p>
    <w:p>
      <w:pPr>
        <w:pStyle w:val="Heading2"/>
      </w:pPr>
      <w:r>
        <w:t>Economic their training.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Late something into resource social case full.</w:t>
      </w:r>
    </w:p>
    <w:p>
      <w:r>
        <w:t>- Girl much life sport forward couple bad international.</w:t>
      </w:r>
    </w:p>
    <w:p>
      <w:r>
        <w:t>- Ahead cold strong realize issue explain.</w:t>
      </w:r>
    </w:p>
    <w:p>
      <w:r>
        <w:t>[1] Cassandra Rodriguez, Harrison, Becker and Braun (2004)</w:t>
      </w:r>
    </w:p>
    <w:p>
      <w:r>
        <w:t>Footnote: Policy reason draw.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