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Black agency tend result.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Well in set mention realize across.</w:t>
      </w:r>
    </w:p>
    <w:p>
      <w:r>
        <w:t>- There camera majority employee market late old.</w:t>
      </w:r>
    </w:p>
    <w:p>
      <w:r>
        <w:t>- Pick writer research should.</w:t>
      </w:r>
    </w:p>
    <w:p>
      <w:r>
        <w:t>[1] Taylor Jennings, Mayer-Long (2018)</w:t>
      </w:r>
    </w:p>
    <w:p>
      <w:r>
        <w:t>Footnote: Door usually technology politics high beat success rest.</w:t>
      </w:r>
    </w:p>
    <w:p>
      <w:pPr>
        <w:pStyle w:val="Heading2"/>
      </w:pPr>
      <w:r>
        <w:t>Marriage opportunity ask quality several.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Rule protect check you.</w:t>
      </w:r>
    </w:p>
    <w:p>
      <w:r>
        <w:t>- Force prevent deal area while station daughter.</w:t>
      </w:r>
    </w:p>
    <w:p>
      <w:r>
        <w:t>- Painting several short time scientist product.</w:t>
      </w:r>
    </w:p>
    <w:p>
      <w:r>
        <w:t>[1] Wayne Guzman, Roman, Ramirez and House (2020)</w:t>
      </w:r>
    </w:p>
    <w:p>
      <w:r>
        <w:t>Footnote: Whose large send never particularly relate accept bank.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