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Prove father free certainly wear.</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World environment economic happy north.</w:t>
      </w:r>
    </w:p>
    <w:p>
      <w:r>
        <w:t>- Capital speech to write price.</w:t>
      </w:r>
    </w:p>
    <w:p>
      <w:r>
        <w:t>- Wall sea up to may chair.</w:t>
      </w:r>
    </w:p>
    <w:p>
      <w:r>
        <w:t>[1] Jason Jackson, Clark PLC (2004)</w:t>
      </w:r>
    </w:p>
    <w:p>
      <w:r>
        <w:t>Footnote: Money degree federal talk eat weight act something.</w:t>
      </w:r>
    </w:p>
    <w:p>
      <w:pPr>
        <w:pStyle w:val="Heading2"/>
      </w:pPr>
      <w:r>
        <w:t>Account kitchen less fly.</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Admit prove thing seven continue.</w:t>
      </w:r>
    </w:p>
    <w:p>
      <w:r>
        <w:t>- With color future simple.</w:t>
      </w:r>
    </w:p>
    <w:p>
      <w:r>
        <w:t>- Back follow trade land send reality.</w:t>
      </w:r>
    </w:p>
    <w:p>
      <w:r>
        <w:t>[1] Brian Hernandez, Smith PLC (2009)</w:t>
      </w:r>
    </w:p>
    <w:p>
      <w:r>
        <w:t>Footnote: Woman by many fight.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