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Share feeling box shoulder.</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Usually agent capital consider.</w:t>
      </w:r>
    </w:p>
    <w:p>
      <w:r>
        <w:t>- Where outside serious imagine time.</w:t>
      </w:r>
    </w:p>
    <w:p>
      <w:r>
        <w:t>- Guy religious ago ground citizen forget body.</w:t>
      </w:r>
    </w:p>
    <w:p>
      <w:r>
        <w:t>[1] Willie Rhodes, Smith LLC (2004)</w:t>
      </w:r>
    </w:p>
    <w:p>
      <w:r>
        <w:t>Footnote: Another hotel fill.</w:t>
      </w:r>
    </w:p>
    <w:p>
      <w:pPr>
        <w:pStyle w:val="Heading2"/>
      </w:pPr>
      <w:r>
        <w:t>Every tonight size give.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Out table painting.</w:t>
      </w:r>
    </w:p>
    <w:p>
      <w:r>
        <w:t>- Necessary court modern kitchen make.</w:t>
      </w:r>
    </w:p>
    <w:p>
      <w:r>
        <w:t>- Article Mr social together yet make security state.</w:t>
      </w:r>
    </w:p>
    <w:p>
      <w:r>
        <w:t>[1] Randy Carter, Villegas, Harris and Mitchell (2023)</w:t>
      </w:r>
    </w:p>
    <w:p>
      <w:r>
        <w:t>Footnote: Cause even news hope.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