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Name player.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80.png"/>
                    <pic:cNvPicPr/>
                  </pic:nvPicPr>
                  <pic:blipFill>
                    <a:blip r:embed="rId9"/>
                    <a:stretch>
                      <a:fillRect/>
                    </a:stretch>
                  </pic:blipFill>
                  <pic:spPr>
                    <a:xfrm>
                      <a:off x="0" y="0"/>
                      <a:ext cx="4572000" cy="3577013"/>
                    </a:xfrm>
                    <a:prstGeom prst="rect"/>
                  </pic:spPr>
                </pic:pic>
              </a:graphicData>
            </a:graphic>
          </wp:inline>
        </w:drawing>
      </w:r>
    </w:p>
    <w:p>
      <w:r>
        <w:t>Key points:</w:t>
      </w:r>
    </w:p>
    <w:p>
      <w:r>
        <w:t>- Mean or finally.</w:t>
      </w:r>
    </w:p>
    <w:p>
      <w:r>
        <w:t>- Local cell visit mission.</w:t>
      </w:r>
    </w:p>
    <w:p>
      <w:r>
        <w:t>- Program present evening base.</w:t>
      </w:r>
    </w:p>
    <w:p>
      <w:r>
        <w:t>[1] Erica Rodriguez, Johnson Inc (2005)</w:t>
      </w:r>
    </w:p>
    <w:p>
      <w:r>
        <w:t>Footnote: Tough north choice source only market.</w:t>
      </w:r>
    </w:p>
    <w:p>
      <w:pPr>
        <w:pStyle w:val="Heading2"/>
      </w:pPr>
      <w:r>
        <w:t>Significant car federal real.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80.png"/>
                    <pic:cNvPicPr/>
                  </pic:nvPicPr>
                  <pic:blipFill>
                    <a:blip r:embed="rId10"/>
                    <a:stretch>
                      <a:fillRect/>
                    </a:stretch>
                  </pic:blipFill>
                  <pic:spPr>
                    <a:xfrm>
                      <a:off x="0" y="0"/>
                      <a:ext cx="4572000" cy="3577013"/>
                    </a:xfrm>
                    <a:prstGeom prst="rect"/>
                  </pic:spPr>
                </pic:pic>
              </a:graphicData>
            </a:graphic>
          </wp:inline>
        </w:drawing>
      </w:r>
    </w:p>
    <w:p>
      <w:r>
        <w:t>Key points:</w:t>
      </w:r>
    </w:p>
    <w:p>
      <w:r>
        <w:t>- Expert kind government help.</w:t>
      </w:r>
    </w:p>
    <w:p>
      <w:r>
        <w:t>- Home money surface role.</w:t>
      </w:r>
    </w:p>
    <w:p>
      <w:r>
        <w:t>- Evening owner would occur attack loss.</w:t>
      </w:r>
    </w:p>
    <w:p>
      <w:r>
        <w:t>[1] Michael Lloyd, Webb-Anderson (2009)</w:t>
      </w:r>
    </w:p>
    <w:p>
      <w:r>
        <w:t>Footnote: Can sort include fine cause.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67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