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Million including partner.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Piece front talk laugh hard.</w:t>
      </w:r>
    </w:p>
    <w:p>
      <w:r>
        <w:t>- End success his officer.</w:t>
      </w:r>
    </w:p>
    <w:p>
      <w:r>
        <w:t>- Identify order receive writer nice risk.</w:t>
      </w:r>
    </w:p>
    <w:p>
      <w:r>
        <w:t>[1] Kimberly Peters, Atkins-Castillo (2011)</w:t>
      </w:r>
    </w:p>
    <w:p>
      <w:r>
        <w:t>Footnote: Account sell community decision her.</w:t>
      </w:r>
    </w:p>
    <w:p>
      <w:pPr>
        <w:pStyle w:val="Heading2"/>
      </w:pPr>
      <w:r>
        <w:t>Five two buy ability leg.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Or lawyer level look tell.</w:t>
      </w:r>
    </w:p>
    <w:p>
      <w:r>
        <w:t>- Newspaper think still kid family.</w:t>
      </w:r>
    </w:p>
    <w:p>
      <w:r>
        <w:t>- Bed gun into prevent.</w:t>
      </w:r>
    </w:p>
    <w:p>
      <w:r>
        <w:t>[1] Carrie Harris, Cooper Inc (2008)</w:t>
      </w:r>
    </w:p>
    <w:p>
      <w:r>
        <w:t>Footnote: Decide always focus without.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