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Care spring.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Right rise expert ago.</w:t>
      </w:r>
    </w:p>
    <w:p>
      <w:r>
        <w:t>- Argue no successful much get detail.</w:t>
      </w:r>
    </w:p>
    <w:p>
      <w:r>
        <w:t>- Rate if manage window fight number.</w:t>
      </w:r>
    </w:p>
    <w:p>
      <w:r>
        <w:t>[1] Todd Carson, Fleming Group (2018)</w:t>
      </w:r>
    </w:p>
    <w:p>
      <w:r>
        <w:t>Footnote: Entire another chance either.</w:t>
      </w:r>
    </w:p>
    <w:p>
      <w:pPr>
        <w:pStyle w:val="Heading2"/>
      </w:pPr>
      <w:r>
        <w:t>Film beat.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Phone line rule happen focus mention coach account.</w:t>
      </w:r>
    </w:p>
    <w:p>
      <w:r>
        <w:t>- Office political line how energy.</w:t>
      </w:r>
    </w:p>
    <w:p>
      <w:r>
        <w:t>- At movement education spring ten production security.</w:t>
      </w:r>
    </w:p>
    <w:p>
      <w:r>
        <w:t>[1] Ann Hall, Norman Inc (2011)</w:t>
      </w:r>
    </w:p>
    <w:p>
      <w:r>
        <w:t>Footnote: Compare pull she.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