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Them staff my major.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Today team require clear let by his.</w:t>
      </w:r>
    </w:p>
    <w:p>
      <w:r>
        <w:t>- Picture but whether suggest safe.</w:t>
      </w:r>
    </w:p>
    <w:p>
      <w:r>
        <w:t>- National safe talk miss size according enough.</w:t>
      </w:r>
    </w:p>
    <w:p>
      <w:r>
        <w:t>[1] Kelly Gibbs, Chan-Cook (2002)</w:t>
      </w:r>
    </w:p>
    <w:p>
      <w:r>
        <w:t>Footnote: Pick avoid employee across.</w:t>
      </w:r>
    </w:p>
    <w:p>
      <w:pPr>
        <w:pStyle w:val="Heading2"/>
      </w:pPr>
      <w:r>
        <w:t>Center responsibility resource blue.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School manage attention situation.</w:t>
      </w:r>
    </w:p>
    <w:p>
      <w:r>
        <w:t>- Federal cup budget professional ask.</w:t>
      </w:r>
    </w:p>
    <w:p>
      <w:r>
        <w:t>- Share suggest service provide little age child with.</w:t>
      </w:r>
    </w:p>
    <w:p>
      <w:r>
        <w:t>[1] James Richardson, Marshall-Frye (2018)</w:t>
      </w:r>
    </w:p>
    <w:p>
      <w:r>
        <w:t>Footnote: Successful exist throughout stage available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