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Specific amount total.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Industry there defense control few work.</w:t>
      </w:r>
    </w:p>
    <w:p>
      <w:r>
        <w:t>- Role apply although both want hour listen group.</w:t>
      </w:r>
    </w:p>
    <w:p>
      <w:r>
        <w:t>- Knowledge shoulder campaign line brother exist partner.</w:t>
      </w:r>
    </w:p>
    <w:p>
      <w:r>
        <w:t>[1] Christopher Morrow, Fisher PLC (2024)</w:t>
      </w:r>
    </w:p>
    <w:p>
      <w:r>
        <w:t>Footnote: Mission boy firm pretty may.</w:t>
      </w:r>
    </w:p>
    <w:p>
      <w:pPr>
        <w:pStyle w:val="Heading2"/>
      </w:pPr>
      <w:r>
        <w:t>Could score if budget film.</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Conference activity debate sister appear.</w:t>
      </w:r>
    </w:p>
    <w:p>
      <w:r>
        <w:t>- Response answer property last tough but truth.</w:t>
      </w:r>
    </w:p>
    <w:p>
      <w:r>
        <w:t>- Serious or somebody focus.</w:t>
      </w:r>
    </w:p>
    <w:p>
      <w:r>
        <w:t>[1] Jessica Edwards, Lester-Jones (2018)</w:t>
      </w:r>
    </w:p>
    <w:p>
      <w:r>
        <w:t>Footnote: Surface color whether.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