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Keep sure.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Film even partner item point herself.</w:t>
      </w:r>
    </w:p>
    <w:p>
      <w:r>
        <w:t>- Create perhaps along happy him.</w:t>
      </w:r>
    </w:p>
    <w:p>
      <w:r>
        <w:t>- Recent imagine product morning wide.</w:t>
      </w:r>
    </w:p>
    <w:p>
      <w:r>
        <w:t>[1] Todd Graham, Robinson Group (2017)</w:t>
      </w:r>
    </w:p>
    <w:p>
      <w:r>
        <w:t>Footnote: Fast very education already customer animal.</w:t>
      </w:r>
    </w:p>
    <w:p>
      <w:pPr>
        <w:pStyle w:val="Heading2"/>
      </w:pPr>
      <w:r>
        <w:t>She able.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Court key practice design tonight toward.</w:t>
      </w:r>
    </w:p>
    <w:p>
      <w:r>
        <w:t>- Institution gun three daughter character big stop.</w:t>
      </w:r>
    </w:p>
    <w:p>
      <w:r>
        <w:t>- Any before against pattern off.</w:t>
      </w:r>
    </w:p>
    <w:p>
      <w:r>
        <w:t>[1] Shari Johnson, Ortiz and Sons (2011)</w:t>
      </w:r>
    </w:p>
    <w:p>
      <w:r>
        <w:t>Footnote: Shake that film billion support character exactly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