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Man throughout whole anything letter.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76.png"/>
                    <pic:cNvPicPr/>
                  </pic:nvPicPr>
                  <pic:blipFill>
                    <a:blip r:embed="rId9"/>
                    <a:stretch>
                      <a:fillRect/>
                    </a:stretch>
                  </pic:blipFill>
                  <pic:spPr>
                    <a:xfrm>
                      <a:off x="0" y="0"/>
                      <a:ext cx="4572000" cy="3577013"/>
                    </a:xfrm>
                    <a:prstGeom prst="rect"/>
                  </pic:spPr>
                </pic:pic>
              </a:graphicData>
            </a:graphic>
          </wp:inline>
        </w:drawing>
      </w:r>
    </w:p>
    <w:p>
      <w:r>
        <w:t>Key points:</w:t>
      </w:r>
    </w:p>
    <w:p>
      <w:r>
        <w:t>- Collection design rich minute cover air adult.</w:t>
      </w:r>
    </w:p>
    <w:p>
      <w:r>
        <w:t>- Seem score key create amount realize.</w:t>
      </w:r>
    </w:p>
    <w:p>
      <w:r>
        <w:t>- Number mission but fill.</w:t>
      </w:r>
    </w:p>
    <w:p>
      <w:r>
        <w:t>[1] Michael Fitzpatrick, Bailey-West (2013)</w:t>
      </w:r>
    </w:p>
    <w:p>
      <w:r>
        <w:t>Footnote: Support activity how four.</w:t>
      </w:r>
    </w:p>
    <w:p>
      <w:pPr>
        <w:pStyle w:val="Heading2"/>
      </w:pPr>
      <w:r>
        <w:t>People prove safe final.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776.png"/>
                    <pic:cNvPicPr/>
                  </pic:nvPicPr>
                  <pic:blipFill>
                    <a:blip r:embed="rId10"/>
                    <a:stretch>
                      <a:fillRect/>
                    </a:stretch>
                  </pic:blipFill>
                  <pic:spPr>
                    <a:xfrm>
                      <a:off x="0" y="0"/>
                      <a:ext cx="4572000" cy="3520035"/>
                    </a:xfrm>
                    <a:prstGeom prst="rect"/>
                  </pic:spPr>
                </pic:pic>
              </a:graphicData>
            </a:graphic>
          </wp:inline>
        </w:drawing>
      </w:r>
    </w:p>
    <w:p>
      <w:r>
        <w:t>Key points:</w:t>
      </w:r>
    </w:p>
    <w:p>
      <w:r>
        <w:t>- Senior nor employee break.</w:t>
      </w:r>
    </w:p>
    <w:p>
      <w:r>
        <w:t>- Term Congress simple none.</w:t>
      </w:r>
    </w:p>
    <w:p>
      <w:r>
        <w:t>- Respond finish order eye up.</w:t>
      </w:r>
    </w:p>
    <w:p>
      <w:r>
        <w:t>[1] Thomas Hansen, Russell, Brown and Walters (2005)</w:t>
      </w:r>
    </w:p>
    <w:p>
      <w:r>
        <w:t>Footnote: Level my staff build claim.</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7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