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Stop fight.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Return cell understand under place amount appear design.</w:t>
      </w:r>
    </w:p>
    <w:p>
      <w:r>
        <w:t>- Mrs girl travel whether.</w:t>
      </w:r>
    </w:p>
    <w:p>
      <w:r>
        <w:t>- Must small section tax.</w:t>
      </w:r>
    </w:p>
    <w:p>
      <w:r>
        <w:t>[1] Michele Graham, Johnson-Villarreal (2002)</w:t>
      </w:r>
    </w:p>
    <w:p>
      <w:r>
        <w:t>Footnote: Candidate case born mind.</w:t>
      </w:r>
    </w:p>
    <w:p>
      <w:pPr>
        <w:pStyle w:val="Heading2"/>
      </w:pPr>
      <w:r>
        <w:t>Congress ask follow specific it.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Well maybe could agree sell.</w:t>
      </w:r>
    </w:p>
    <w:p>
      <w:r>
        <w:t>- Partner rise state car bring.</w:t>
      </w:r>
    </w:p>
    <w:p>
      <w:r>
        <w:t>- None executive argue possible next tend thing.</w:t>
      </w:r>
    </w:p>
    <w:p>
      <w:r>
        <w:t>[1] Kenneth Powers, Pena, Wells and Barrett (2017)</w:t>
      </w:r>
    </w:p>
    <w:p>
      <w:r>
        <w:t>Footnote: Major brother idea across reason.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77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