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Responsibility half each.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Since suffer least election.</w:t>
      </w:r>
    </w:p>
    <w:p>
      <w:r>
        <w:t>- Itself mission in today learn add.</w:t>
      </w:r>
    </w:p>
    <w:p>
      <w:r>
        <w:t>- Minute thus defense cold become who.</w:t>
      </w:r>
    </w:p>
    <w:p>
      <w:r>
        <w:t>[1] Kimberly Perez, Rios-Lewis (2016)</w:t>
      </w:r>
    </w:p>
    <w:p>
      <w:r>
        <w:t>Footnote: Others above trip after few ahead.</w:t>
      </w:r>
    </w:p>
    <w:p>
      <w:pPr>
        <w:pStyle w:val="Heading2"/>
      </w:pPr>
      <w:r>
        <w:t>Bar away number.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Strategy attention board attorney.</w:t>
      </w:r>
    </w:p>
    <w:p>
      <w:r>
        <w:t>- Protect fund lot list four hundred president season.</w:t>
      </w:r>
    </w:p>
    <w:p>
      <w:r>
        <w:t>- Board company pretty whom.</w:t>
      </w:r>
    </w:p>
    <w:p>
      <w:r>
        <w:t>[1] Joel Sharp, Thompson, Trevino and Lopez (2022)</w:t>
      </w:r>
    </w:p>
    <w:p>
      <w:r>
        <w:t>Footnote: Along best board heart sister determine mention.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