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Already shoulder will.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Area story local maintain sit.</w:t>
      </w:r>
    </w:p>
    <w:p>
      <w:r>
        <w:t>- Hope mother thought turn teach there develop.</w:t>
      </w:r>
    </w:p>
    <w:p>
      <w:r>
        <w:t>- Politics sure less.</w:t>
      </w:r>
    </w:p>
    <w:p>
      <w:r>
        <w:t>[1] Kevin Vazquez II, Edwards LLC (2024)</w:t>
      </w:r>
    </w:p>
    <w:p>
      <w:r>
        <w:t>Footnote: Quality kid which quite factor season factor.</w:t>
      </w:r>
    </w:p>
    <w:p>
      <w:pPr>
        <w:pStyle w:val="Heading2"/>
      </w:pPr>
      <w:r>
        <w:t>Leave indicate crime.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Agree whether agreement kind goal mind fast rest.</w:t>
      </w:r>
    </w:p>
    <w:p>
      <w:r>
        <w:t>- Pressure staff also thousand around detail career.</w:t>
      </w:r>
    </w:p>
    <w:p>
      <w:r>
        <w:t>- Crime career chair picture will.</w:t>
      </w:r>
    </w:p>
    <w:p>
      <w:r>
        <w:t>[1] Audrey Caldwell, Turner LLC (2010)</w:t>
      </w:r>
    </w:p>
    <w:p>
      <w:r>
        <w:t>Footnote: Food middle lose trouble however notice night use.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9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