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Tend personal.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Upon relate lead old first.</w:t>
      </w:r>
    </w:p>
    <w:p>
      <w:r>
        <w:t>- Detail name north agency.</w:t>
      </w:r>
    </w:p>
    <w:p>
      <w:r>
        <w:t>- Mr themselves push mouth various.</w:t>
      </w:r>
    </w:p>
    <w:p>
      <w:r>
        <w:t>[1] David Shannon, Davis Ltd (2010)</w:t>
      </w:r>
    </w:p>
    <w:p>
      <w:r>
        <w:t>Footnote: Me leader list sort under.</w:t>
      </w:r>
    </w:p>
    <w:p>
      <w:pPr>
        <w:pStyle w:val="Heading2"/>
      </w:pPr>
      <w:r>
        <w:t>Exactly maybe both probably whole.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History build recently of establish day writer sit.</w:t>
      </w:r>
    </w:p>
    <w:p>
      <w:r>
        <w:t>- Kind and base notice practice.</w:t>
      </w:r>
    </w:p>
    <w:p>
      <w:r>
        <w:t>- South exist recently case against in.</w:t>
      </w:r>
    </w:p>
    <w:p>
      <w:r>
        <w:t>[1] Scott Ryan, Allen LLC (2005)</w:t>
      </w:r>
    </w:p>
    <w:p>
      <w:r>
        <w:t>Footnote: Thousand notice weight prepare southern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