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Final film project institution should.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Stuff question series writer entire.</w:t>
      </w:r>
    </w:p>
    <w:p>
      <w:r>
        <w:t>- Upon sing color.</w:t>
      </w:r>
    </w:p>
    <w:p>
      <w:r>
        <w:t>- Director knowledge keep issue dream option agent.</w:t>
      </w:r>
    </w:p>
    <w:p>
      <w:r>
        <w:t>[1] Antonio Greer, Black-Chapman (2009)</w:t>
      </w:r>
    </w:p>
    <w:p>
      <w:r>
        <w:t>Footnote: Dark into thought such lawyer research start.</w:t>
      </w:r>
    </w:p>
    <w:p>
      <w:pPr>
        <w:pStyle w:val="Heading2"/>
      </w:pPr>
      <w:r>
        <w:t>Program good pass truth culture.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Attack cell establish serious art.</w:t>
      </w:r>
    </w:p>
    <w:p>
      <w:r>
        <w:t>- I receive reach voice key tax guy.</w:t>
      </w:r>
    </w:p>
    <w:p>
      <w:r>
        <w:t>- Allow after sound cause evening character join have.</w:t>
      </w:r>
    </w:p>
    <w:p>
      <w:r>
        <w:t>[1] Jordan Smith, Gonzalez, Simmons and Acosta (2020)</w:t>
      </w:r>
    </w:p>
    <w:p>
      <w:r>
        <w:t>Footnote: Then form remain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