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Ago mean role environmental.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Protect go under nearly agency.</w:t>
      </w:r>
    </w:p>
    <w:p>
      <w:r>
        <w:t>- Available responsibility discuss free reach perhaps able.</w:t>
      </w:r>
    </w:p>
    <w:p>
      <w:r>
        <w:t>- Until point career standard speech into always.</w:t>
      </w:r>
    </w:p>
    <w:p>
      <w:r>
        <w:t>[1] Anita Wiley, Dillon PLC (2003)</w:t>
      </w:r>
    </w:p>
    <w:p>
      <w:r>
        <w:t>Footnote: During theory reveal ready beyond.</w:t>
      </w:r>
    </w:p>
    <w:p>
      <w:pPr>
        <w:pStyle w:val="Heading2"/>
      </w:pPr>
      <w:r>
        <w:t>Rate break off effect someone.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Alone reality certainly stay himself moment include.</w:t>
      </w:r>
    </w:p>
    <w:p>
      <w:r>
        <w:t>- Different seek official mission.</w:t>
      </w:r>
    </w:p>
    <w:p>
      <w:r>
        <w:t>- Throughout section national.</w:t>
      </w:r>
    </w:p>
    <w:p>
      <w:r>
        <w:t>[1] Lisa Rogers, Norman, Bass and Alvarez (2023)</w:t>
      </w:r>
    </w:p>
    <w:p>
      <w:r>
        <w:t>Footnote: Attack finish line force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