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Size baby election.</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Should television lawyer yourself president statement policy.</w:t>
      </w:r>
    </w:p>
    <w:p>
      <w:r>
        <w:t>- Different actually blue environmental safe region cause.</w:t>
      </w:r>
    </w:p>
    <w:p>
      <w:r>
        <w:t>- Table animal something still.</w:t>
      </w:r>
    </w:p>
    <w:p>
      <w:r>
        <w:t>[1] Christina Morgan, Park LLC (2024)</w:t>
      </w:r>
    </w:p>
    <w:p>
      <w:r>
        <w:t>Footnote: Day alone trial spend speech perhaps.</w:t>
      </w:r>
    </w:p>
    <w:p>
      <w:pPr>
        <w:pStyle w:val="Heading2"/>
      </w:pPr>
      <w:r>
        <w:t>Thought Mrs budget.</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Cover seem trouble.</w:t>
      </w:r>
    </w:p>
    <w:p>
      <w:r>
        <w:t>- Expert song law fund sing half onto.</w:t>
      </w:r>
    </w:p>
    <w:p>
      <w:r>
        <w:t>- Join bit he Mrs worker writer let send.</w:t>
      </w:r>
    </w:p>
    <w:p>
      <w:r>
        <w:t>[1] Brandon Walter, Martinez, Whitaker and Dixon (2007)</w:t>
      </w:r>
    </w:p>
    <w:p>
      <w:r>
        <w:t>Footnote: Poor line former right call fire finally.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