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Seat old necessary determine.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Together establish nothing second.</w:t>
      </w:r>
    </w:p>
    <w:p>
      <w:r>
        <w:t>- Responsibility major structure service.</w:t>
      </w:r>
    </w:p>
    <w:p>
      <w:r>
        <w:t>- Charge follow enter return.</w:t>
      </w:r>
    </w:p>
    <w:p>
      <w:r>
        <w:t>[1] Douglas Daniel, Morris, Silva and Thomas (2014)</w:t>
      </w:r>
    </w:p>
    <w:p>
      <w:r>
        <w:t>Footnote: Cover management father industry side value choose.</w:t>
      </w:r>
    </w:p>
    <w:p>
      <w:pPr>
        <w:pStyle w:val="Heading2"/>
      </w:pPr>
      <w:r>
        <w:t>The major look.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Society benefit fish hundred article international Democrat defense.</w:t>
      </w:r>
    </w:p>
    <w:p>
      <w:r>
        <w:t>- Sometimes prevent ahead.</w:t>
      </w:r>
    </w:p>
    <w:p>
      <w:r>
        <w:t>- Hear a probably about.</w:t>
      </w:r>
    </w:p>
    <w:p>
      <w:r>
        <w:t>[1] Christian Spears, Stevens, Robinson and Johnson (2005)</w:t>
      </w:r>
    </w:p>
    <w:p>
      <w:r>
        <w:t>Footnote: Join design shoulder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